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6FA5" w:rsidRDefault="00B26FA5" w:rsidP="00B26FA5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26FA5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Перелік документів, що має надати акціонер (представник акціонера) для його участі у </w:t>
      </w:r>
      <w:r w:rsidR="00933F69">
        <w:rPr>
          <w:rFonts w:ascii="Times New Roman" w:hAnsi="Times New Roman" w:cs="Times New Roman"/>
          <w:b/>
          <w:sz w:val="24"/>
          <w:szCs w:val="24"/>
          <w:lang w:val="uk-UA"/>
        </w:rPr>
        <w:t xml:space="preserve">дистанційних </w:t>
      </w:r>
      <w:r w:rsidRPr="00B26FA5">
        <w:rPr>
          <w:rFonts w:ascii="Times New Roman" w:hAnsi="Times New Roman" w:cs="Times New Roman"/>
          <w:b/>
          <w:sz w:val="24"/>
          <w:szCs w:val="24"/>
          <w:lang w:val="uk-UA"/>
        </w:rPr>
        <w:t>позачергових Загальних зборах</w:t>
      </w:r>
      <w:r w:rsidR="00933F69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акціонерів Акціонерного товариства «Харківський науково-дослідний та проектно-конструкторський інститут «</w:t>
      </w:r>
      <w:proofErr w:type="spellStart"/>
      <w:r w:rsidR="00933F69">
        <w:rPr>
          <w:rFonts w:ascii="Times New Roman" w:hAnsi="Times New Roman" w:cs="Times New Roman"/>
          <w:b/>
          <w:sz w:val="24"/>
          <w:szCs w:val="24"/>
          <w:lang w:val="uk-UA"/>
        </w:rPr>
        <w:t>Енергопроект</w:t>
      </w:r>
      <w:proofErr w:type="spellEnd"/>
      <w:r w:rsidR="00933F69">
        <w:rPr>
          <w:rFonts w:ascii="Times New Roman" w:hAnsi="Times New Roman" w:cs="Times New Roman"/>
          <w:b/>
          <w:sz w:val="24"/>
          <w:szCs w:val="24"/>
          <w:lang w:val="uk-UA"/>
        </w:rPr>
        <w:t>»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, які відбудуться </w:t>
      </w:r>
      <w:r w:rsidR="00933F69">
        <w:rPr>
          <w:rFonts w:ascii="Times New Roman" w:hAnsi="Times New Roman" w:cs="Times New Roman"/>
          <w:b/>
          <w:sz w:val="24"/>
          <w:szCs w:val="24"/>
          <w:lang w:val="uk-UA"/>
        </w:rPr>
        <w:t>12.01.2024</w:t>
      </w:r>
      <w:r w:rsidR="00E10F95">
        <w:rPr>
          <w:rFonts w:ascii="Times New Roman" w:hAnsi="Times New Roman" w:cs="Times New Roman"/>
          <w:b/>
          <w:sz w:val="24"/>
          <w:szCs w:val="24"/>
          <w:lang w:val="uk-UA"/>
        </w:rPr>
        <w:t xml:space="preserve">: </w:t>
      </w:r>
      <w:bookmarkStart w:id="0" w:name="_GoBack"/>
      <w:bookmarkEnd w:id="0"/>
    </w:p>
    <w:p w:rsidR="00447AD6" w:rsidRPr="00B26FA5" w:rsidRDefault="00447AD6" w:rsidP="00E10F95">
      <w:pPr>
        <w:pStyle w:val="a3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E10F95" w:rsidRPr="00C56150" w:rsidRDefault="003A4C00" w:rsidP="00E10F95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56150">
        <w:rPr>
          <w:rFonts w:ascii="Times New Roman" w:hAnsi="Times New Roman" w:cs="Times New Roman"/>
          <w:sz w:val="24"/>
          <w:szCs w:val="24"/>
          <w:lang w:val="uk-UA"/>
        </w:rPr>
        <w:t>Б</w:t>
      </w:r>
      <w:r w:rsidR="00E10F95" w:rsidRPr="00C56150">
        <w:rPr>
          <w:rFonts w:ascii="Times New Roman" w:hAnsi="Times New Roman" w:cs="Times New Roman"/>
          <w:sz w:val="24"/>
          <w:szCs w:val="24"/>
          <w:lang w:val="uk-UA"/>
        </w:rPr>
        <w:t>юлетен</w:t>
      </w:r>
      <w:r w:rsidRPr="00C56150">
        <w:rPr>
          <w:rFonts w:ascii="Times New Roman" w:hAnsi="Times New Roman" w:cs="Times New Roman"/>
          <w:sz w:val="24"/>
          <w:szCs w:val="24"/>
          <w:lang w:val="uk-UA"/>
        </w:rPr>
        <w:t xml:space="preserve">ь </w:t>
      </w:r>
      <w:r w:rsidR="00E10F95" w:rsidRPr="00C56150">
        <w:rPr>
          <w:rFonts w:ascii="Times New Roman" w:hAnsi="Times New Roman" w:cs="Times New Roman"/>
          <w:sz w:val="24"/>
          <w:szCs w:val="24"/>
          <w:lang w:val="uk-UA"/>
        </w:rPr>
        <w:t xml:space="preserve">для голосування на </w:t>
      </w:r>
      <w:r w:rsidR="00EE0B36" w:rsidRPr="00C56150">
        <w:rPr>
          <w:rFonts w:ascii="Times New Roman" w:hAnsi="Times New Roman" w:cs="Times New Roman"/>
          <w:sz w:val="24"/>
          <w:szCs w:val="24"/>
          <w:lang w:val="uk-UA"/>
        </w:rPr>
        <w:t xml:space="preserve">позачергових </w:t>
      </w:r>
      <w:r w:rsidR="00E10F95" w:rsidRPr="00C56150">
        <w:rPr>
          <w:rFonts w:ascii="Times New Roman" w:hAnsi="Times New Roman" w:cs="Times New Roman"/>
          <w:sz w:val="24"/>
          <w:szCs w:val="24"/>
          <w:lang w:val="uk-UA"/>
        </w:rPr>
        <w:t>Загальних зборах</w:t>
      </w:r>
      <w:r w:rsidR="00933F69" w:rsidRPr="00C56150">
        <w:rPr>
          <w:rFonts w:ascii="Times New Roman" w:hAnsi="Times New Roman" w:cs="Times New Roman"/>
          <w:sz w:val="24"/>
          <w:szCs w:val="24"/>
          <w:lang w:val="uk-UA"/>
        </w:rPr>
        <w:t xml:space="preserve"> акціонерів</w:t>
      </w:r>
      <w:r w:rsidR="00E10F95" w:rsidRPr="00C56150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E10F95" w:rsidRPr="00C56150" w:rsidRDefault="00E10F95" w:rsidP="00E10F95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56150">
        <w:rPr>
          <w:rFonts w:ascii="Times New Roman" w:hAnsi="Times New Roman" w:cs="Times New Roman"/>
          <w:sz w:val="24"/>
          <w:szCs w:val="24"/>
          <w:lang w:val="uk-UA"/>
        </w:rPr>
        <w:t>документ, що посвідчує особу (паспорт);</w:t>
      </w:r>
    </w:p>
    <w:p w:rsidR="00E10F95" w:rsidRPr="00C56150" w:rsidRDefault="00E10F95" w:rsidP="00E10F95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56150">
        <w:rPr>
          <w:rFonts w:ascii="Times New Roman" w:hAnsi="Times New Roman" w:cs="Times New Roman"/>
          <w:sz w:val="24"/>
          <w:szCs w:val="24"/>
          <w:lang w:val="uk-UA"/>
        </w:rPr>
        <w:t>реєстраційний номер облікової картки платника податків (за наявності);</w:t>
      </w:r>
    </w:p>
    <w:p w:rsidR="00E10F95" w:rsidRPr="00C56150" w:rsidRDefault="00E10F95" w:rsidP="00E10F95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56150">
        <w:rPr>
          <w:rFonts w:ascii="Times New Roman" w:hAnsi="Times New Roman" w:cs="Times New Roman"/>
          <w:sz w:val="24"/>
          <w:szCs w:val="24"/>
          <w:lang w:val="uk-UA"/>
        </w:rPr>
        <w:t xml:space="preserve">довіреність на право участі та голосування на </w:t>
      </w:r>
      <w:r w:rsidR="00EE0B36" w:rsidRPr="00C56150">
        <w:rPr>
          <w:rFonts w:ascii="Times New Roman" w:hAnsi="Times New Roman" w:cs="Times New Roman"/>
          <w:sz w:val="24"/>
          <w:szCs w:val="24"/>
          <w:lang w:val="uk-UA"/>
        </w:rPr>
        <w:t xml:space="preserve">позачергових </w:t>
      </w:r>
      <w:r w:rsidRPr="00C56150">
        <w:rPr>
          <w:rFonts w:ascii="Times New Roman" w:hAnsi="Times New Roman" w:cs="Times New Roman"/>
          <w:sz w:val="24"/>
          <w:szCs w:val="24"/>
          <w:lang w:val="uk-UA"/>
        </w:rPr>
        <w:t>Загальних збор</w:t>
      </w:r>
      <w:r w:rsidR="00911897" w:rsidRPr="00C56150">
        <w:rPr>
          <w:rFonts w:ascii="Times New Roman" w:hAnsi="Times New Roman" w:cs="Times New Roman"/>
          <w:sz w:val="24"/>
          <w:szCs w:val="24"/>
          <w:lang w:val="uk-UA"/>
        </w:rPr>
        <w:t xml:space="preserve">ах </w:t>
      </w:r>
      <w:r w:rsidR="00933F69" w:rsidRPr="00C56150">
        <w:rPr>
          <w:rFonts w:ascii="Times New Roman" w:hAnsi="Times New Roman" w:cs="Times New Roman"/>
          <w:sz w:val="24"/>
          <w:szCs w:val="24"/>
          <w:lang w:val="uk-UA"/>
        </w:rPr>
        <w:t xml:space="preserve">акціонерів </w:t>
      </w:r>
      <w:r w:rsidR="008D7444" w:rsidRPr="00C56150">
        <w:rPr>
          <w:rFonts w:ascii="Times New Roman" w:hAnsi="Times New Roman" w:cs="Times New Roman"/>
          <w:sz w:val="24"/>
          <w:szCs w:val="24"/>
          <w:lang w:val="uk-UA"/>
        </w:rPr>
        <w:t xml:space="preserve">або інші документи, що підтверджують повноваження </w:t>
      </w:r>
      <w:r w:rsidR="00911897" w:rsidRPr="00C56150">
        <w:rPr>
          <w:rFonts w:ascii="Times New Roman" w:hAnsi="Times New Roman" w:cs="Times New Roman"/>
          <w:sz w:val="24"/>
          <w:szCs w:val="24"/>
          <w:lang w:val="uk-UA"/>
        </w:rPr>
        <w:t>(для представника акціонера).</w:t>
      </w:r>
    </w:p>
    <w:p w:rsidR="00E10F95" w:rsidRDefault="00E10F95" w:rsidP="00B26FA5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26FA5" w:rsidRPr="00B26FA5" w:rsidRDefault="00B26FA5" w:rsidP="00B26FA5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26FA5">
        <w:rPr>
          <w:rFonts w:ascii="Times New Roman" w:hAnsi="Times New Roman" w:cs="Times New Roman"/>
          <w:sz w:val="24"/>
          <w:szCs w:val="24"/>
          <w:lang w:val="uk-UA"/>
        </w:rPr>
        <w:t>Представником акціонера на загальних збо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рах може бути фізична особа або </w:t>
      </w:r>
      <w:r w:rsidRPr="00B26FA5">
        <w:rPr>
          <w:rFonts w:ascii="Times New Roman" w:hAnsi="Times New Roman" w:cs="Times New Roman"/>
          <w:sz w:val="24"/>
          <w:szCs w:val="24"/>
          <w:lang w:val="uk-UA"/>
        </w:rPr>
        <w:t>уповноважена особа юридичної особи, а тако</w:t>
      </w:r>
      <w:r w:rsidR="003A4C00">
        <w:rPr>
          <w:rFonts w:ascii="Times New Roman" w:hAnsi="Times New Roman" w:cs="Times New Roman"/>
          <w:sz w:val="24"/>
          <w:szCs w:val="24"/>
          <w:lang w:val="uk-UA"/>
        </w:rPr>
        <w:t>ж уповноважена особа Д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ержави чи </w:t>
      </w:r>
      <w:r w:rsidRPr="00B26FA5">
        <w:rPr>
          <w:rFonts w:ascii="Times New Roman" w:hAnsi="Times New Roman" w:cs="Times New Roman"/>
          <w:sz w:val="24"/>
          <w:szCs w:val="24"/>
          <w:lang w:val="uk-UA"/>
        </w:rPr>
        <w:t>територіальної громади.</w:t>
      </w:r>
    </w:p>
    <w:p w:rsidR="00B26FA5" w:rsidRDefault="00B26FA5" w:rsidP="00B26FA5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26FA5">
        <w:rPr>
          <w:rFonts w:ascii="Times New Roman" w:hAnsi="Times New Roman" w:cs="Times New Roman"/>
          <w:sz w:val="24"/>
          <w:szCs w:val="24"/>
          <w:lang w:val="uk-UA"/>
        </w:rPr>
        <w:t>Представником акціонера – фізичної чи юрид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ичної особи на загальних зборах </w:t>
      </w:r>
      <w:r w:rsidRPr="00B26FA5">
        <w:rPr>
          <w:rFonts w:ascii="Times New Roman" w:hAnsi="Times New Roman" w:cs="Times New Roman"/>
          <w:sz w:val="24"/>
          <w:szCs w:val="24"/>
          <w:lang w:val="uk-UA"/>
        </w:rPr>
        <w:t>може бути інша фізична особа або уповно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важена особа юридичної особи, а </w:t>
      </w:r>
      <w:r w:rsidR="003A4C00">
        <w:rPr>
          <w:rFonts w:ascii="Times New Roman" w:hAnsi="Times New Roman" w:cs="Times New Roman"/>
          <w:sz w:val="24"/>
          <w:szCs w:val="24"/>
          <w:lang w:val="uk-UA"/>
        </w:rPr>
        <w:t>представником акціонера - Д</w:t>
      </w:r>
      <w:r w:rsidRPr="00B26FA5">
        <w:rPr>
          <w:rFonts w:ascii="Times New Roman" w:hAnsi="Times New Roman" w:cs="Times New Roman"/>
          <w:sz w:val="24"/>
          <w:szCs w:val="24"/>
          <w:lang w:val="uk-UA"/>
        </w:rPr>
        <w:t>ержави чи територіальної громади – уповноважена особа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26FA5">
        <w:rPr>
          <w:rFonts w:ascii="Times New Roman" w:hAnsi="Times New Roman" w:cs="Times New Roman"/>
          <w:sz w:val="24"/>
          <w:szCs w:val="24"/>
          <w:lang w:val="uk-UA"/>
        </w:rPr>
        <w:t>органу, що здійснює управління об’єктами д</w:t>
      </w:r>
      <w:r>
        <w:rPr>
          <w:rFonts w:ascii="Times New Roman" w:hAnsi="Times New Roman" w:cs="Times New Roman"/>
          <w:sz w:val="24"/>
          <w:szCs w:val="24"/>
          <w:lang w:val="uk-UA"/>
        </w:rPr>
        <w:t>ержавної власності чи об’єктами комунальної власності.</w:t>
      </w:r>
    </w:p>
    <w:p w:rsidR="00B26FA5" w:rsidRPr="00B26FA5" w:rsidRDefault="00B26FA5" w:rsidP="00B26FA5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26FA5">
        <w:rPr>
          <w:rFonts w:ascii="Times New Roman" w:hAnsi="Times New Roman" w:cs="Times New Roman"/>
          <w:sz w:val="24"/>
          <w:szCs w:val="24"/>
          <w:lang w:val="uk-UA"/>
        </w:rPr>
        <w:t>Акціонер має право призначити свого представника безстроково або на певний</w:t>
      </w:r>
    </w:p>
    <w:p w:rsidR="00B26FA5" w:rsidRPr="00B26FA5" w:rsidRDefault="00B26FA5" w:rsidP="00B26FA5">
      <w:pPr>
        <w:pStyle w:val="a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26FA5">
        <w:rPr>
          <w:rFonts w:ascii="Times New Roman" w:hAnsi="Times New Roman" w:cs="Times New Roman"/>
          <w:sz w:val="24"/>
          <w:szCs w:val="24"/>
          <w:lang w:val="uk-UA"/>
        </w:rPr>
        <w:t>строк.</w:t>
      </w:r>
    </w:p>
    <w:p w:rsidR="00B26FA5" w:rsidRPr="00B26FA5" w:rsidRDefault="00B26FA5" w:rsidP="00B26FA5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26FA5">
        <w:rPr>
          <w:rFonts w:ascii="Times New Roman" w:hAnsi="Times New Roman" w:cs="Times New Roman"/>
          <w:sz w:val="24"/>
          <w:szCs w:val="24"/>
          <w:lang w:val="uk-UA"/>
        </w:rPr>
        <w:t>Довіреність на право участі та голосува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ння на загальних зборах, видана </w:t>
      </w:r>
      <w:r w:rsidRPr="00B26FA5">
        <w:rPr>
          <w:rFonts w:ascii="Times New Roman" w:hAnsi="Times New Roman" w:cs="Times New Roman"/>
          <w:sz w:val="24"/>
          <w:szCs w:val="24"/>
          <w:lang w:val="uk-UA"/>
        </w:rPr>
        <w:t>фізичною особою, посвідчується нотаріусом або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іншими посадовими особами, які </w:t>
      </w:r>
      <w:r w:rsidRPr="00B26FA5">
        <w:rPr>
          <w:rFonts w:ascii="Times New Roman" w:hAnsi="Times New Roman" w:cs="Times New Roman"/>
          <w:sz w:val="24"/>
          <w:szCs w:val="24"/>
          <w:lang w:val="uk-UA"/>
        </w:rPr>
        <w:t>вчиняють нотаріальні дії, а також може посвідчу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ватися депозитарною установою у </w:t>
      </w:r>
      <w:r w:rsidRPr="00B26FA5">
        <w:rPr>
          <w:rFonts w:ascii="Times New Roman" w:hAnsi="Times New Roman" w:cs="Times New Roman"/>
          <w:sz w:val="24"/>
          <w:szCs w:val="24"/>
          <w:lang w:val="uk-UA"/>
        </w:rPr>
        <w:t>порядку, встановленому абзацами третім - восьмим цього пункту (у разі оформлення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26FA5">
        <w:rPr>
          <w:rFonts w:ascii="Times New Roman" w:hAnsi="Times New Roman" w:cs="Times New Roman"/>
          <w:sz w:val="24"/>
          <w:szCs w:val="24"/>
          <w:lang w:val="uk-UA"/>
        </w:rPr>
        <w:t xml:space="preserve">довіреності у вигляді електронного документу)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або розділом VIII Положення про </w:t>
      </w:r>
      <w:r w:rsidRPr="00B26FA5">
        <w:rPr>
          <w:rFonts w:ascii="Times New Roman" w:hAnsi="Times New Roman" w:cs="Times New Roman"/>
          <w:sz w:val="24"/>
          <w:szCs w:val="24"/>
          <w:lang w:val="uk-UA"/>
        </w:rPr>
        <w:t>провадження депозитарної діяльності, затвердженого рішенням Національної комісії з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26FA5">
        <w:rPr>
          <w:rFonts w:ascii="Times New Roman" w:hAnsi="Times New Roman" w:cs="Times New Roman"/>
          <w:sz w:val="24"/>
          <w:szCs w:val="24"/>
          <w:lang w:val="uk-UA"/>
        </w:rPr>
        <w:t>цінних паперів та фондового ринку від 23 квітня 2013 року № 735, зареєстрованого в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26FA5">
        <w:rPr>
          <w:rFonts w:ascii="Times New Roman" w:hAnsi="Times New Roman" w:cs="Times New Roman"/>
          <w:sz w:val="24"/>
          <w:szCs w:val="24"/>
          <w:lang w:val="uk-UA"/>
        </w:rPr>
        <w:t>Міністерстві юстиції України 27 червня 2013 року за № 1084/23616 (у разі оформлення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B26FA5">
        <w:rPr>
          <w:rFonts w:ascii="Times New Roman" w:hAnsi="Times New Roman" w:cs="Times New Roman"/>
          <w:sz w:val="24"/>
          <w:szCs w:val="24"/>
          <w:lang w:val="uk-UA"/>
        </w:rPr>
        <w:t>довіреності у вигляді паперового документу).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Довіреність на право участі та </w:t>
      </w:r>
      <w:r w:rsidRPr="00B26FA5">
        <w:rPr>
          <w:rFonts w:ascii="Times New Roman" w:hAnsi="Times New Roman" w:cs="Times New Roman"/>
          <w:sz w:val="24"/>
          <w:szCs w:val="24"/>
          <w:lang w:val="uk-UA"/>
        </w:rPr>
        <w:t>голосування на загальних зборах від імені юридичної особи видається її органом або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26FA5">
        <w:rPr>
          <w:rFonts w:ascii="Times New Roman" w:hAnsi="Times New Roman" w:cs="Times New Roman"/>
          <w:sz w:val="24"/>
          <w:szCs w:val="24"/>
          <w:lang w:val="uk-UA"/>
        </w:rPr>
        <w:t>іншою особою, уповноваженою на це її установчими документами.</w:t>
      </w:r>
    </w:p>
    <w:p w:rsidR="00B26FA5" w:rsidRPr="00B26FA5" w:rsidRDefault="00B26FA5" w:rsidP="00B26FA5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26FA5">
        <w:rPr>
          <w:rFonts w:ascii="Times New Roman" w:hAnsi="Times New Roman" w:cs="Times New Roman"/>
          <w:sz w:val="24"/>
          <w:szCs w:val="24"/>
          <w:lang w:val="uk-UA"/>
        </w:rPr>
        <w:t>Представник акціонера може отримувати в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ід нього перелік питань порядку </w:t>
      </w:r>
      <w:r w:rsidRPr="00B26FA5">
        <w:rPr>
          <w:rFonts w:ascii="Times New Roman" w:hAnsi="Times New Roman" w:cs="Times New Roman"/>
          <w:sz w:val="24"/>
          <w:szCs w:val="24"/>
          <w:lang w:val="uk-UA"/>
        </w:rPr>
        <w:t>денного загальних зборів з інструкцією щодо голосування з цих питань (завдання щодо голосування), яка є невід</w:t>
      </w:r>
      <w:r>
        <w:rPr>
          <w:rFonts w:ascii="Times New Roman" w:hAnsi="Times New Roman" w:cs="Times New Roman"/>
          <w:sz w:val="24"/>
          <w:szCs w:val="24"/>
          <w:lang w:val="uk-UA"/>
        </w:rPr>
        <w:t>’</w:t>
      </w:r>
      <w:r w:rsidRPr="00B26FA5">
        <w:rPr>
          <w:rFonts w:ascii="Times New Roman" w:hAnsi="Times New Roman" w:cs="Times New Roman"/>
          <w:sz w:val="24"/>
          <w:szCs w:val="24"/>
          <w:lang w:val="uk-UA"/>
        </w:rPr>
        <w:t>ємною частиною довіреності на право участі та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26FA5">
        <w:rPr>
          <w:rFonts w:ascii="Times New Roman" w:hAnsi="Times New Roman" w:cs="Times New Roman"/>
          <w:sz w:val="24"/>
          <w:szCs w:val="24"/>
          <w:lang w:val="uk-UA"/>
        </w:rPr>
        <w:t xml:space="preserve">голосування на загальних зборах. Під час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голосування на загальних зборах </w:t>
      </w:r>
      <w:r w:rsidRPr="00B26FA5">
        <w:rPr>
          <w:rFonts w:ascii="Times New Roman" w:hAnsi="Times New Roman" w:cs="Times New Roman"/>
          <w:sz w:val="24"/>
          <w:szCs w:val="24"/>
          <w:lang w:val="uk-UA"/>
        </w:rPr>
        <w:t xml:space="preserve">представник повинен голосувати відповідно до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завдання щодо голосування. Якщо </w:t>
      </w:r>
      <w:r w:rsidRPr="00B26FA5">
        <w:rPr>
          <w:rFonts w:ascii="Times New Roman" w:hAnsi="Times New Roman" w:cs="Times New Roman"/>
          <w:sz w:val="24"/>
          <w:szCs w:val="24"/>
          <w:lang w:val="uk-UA"/>
        </w:rPr>
        <w:t>представник акціонера не має завдання щодо голосування, він здійснює голосування на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26FA5">
        <w:rPr>
          <w:rFonts w:ascii="Times New Roman" w:hAnsi="Times New Roman" w:cs="Times New Roman"/>
          <w:sz w:val="24"/>
          <w:szCs w:val="24"/>
          <w:lang w:val="uk-UA"/>
        </w:rPr>
        <w:t>загальних зборах на свій розсуд.</w:t>
      </w:r>
    </w:p>
    <w:p w:rsidR="00B26FA5" w:rsidRPr="00B26FA5" w:rsidRDefault="00B26FA5" w:rsidP="00B26FA5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26FA5">
        <w:rPr>
          <w:rFonts w:ascii="Times New Roman" w:hAnsi="Times New Roman" w:cs="Times New Roman"/>
          <w:sz w:val="24"/>
          <w:szCs w:val="24"/>
          <w:lang w:val="uk-UA"/>
        </w:rPr>
        <w:t>Депозитарні установи посвідчують довіреності на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право участі та голосування на </w:t>
      </w:r>
      <w:r w:rsidRPr="00B26FA5">
        <w:rPr>
          <w:rFonts w:ascii="Times New Roman" w:hAnsi="Times New Roman" w:cs="Times New Roman"/>
          <w:sz w:val="24"/>
          <w:szCs w:val="24"/>
          <w:lang w:val="uk-UA"/>
        </w:rPr>
        <w:t>загальних зборах у вигляді електронного документу виключно від фізичних осіб, що є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26FA5">
        <w:rPr>
          <w:rFonts w:ascii="Times New Roman" w:hAnsi="Times New Roman" w:cs="Times New Roman"/>
          <w:sz w:val="24"/>
          <w:szCs w:val="24"/>
          <w:lang w:val="uk-UA"/>
        </w:rPr>
        <w:t xml:space="preserve">депонентами цієї депозитарної установи, та за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умови обліку акцій відповідного </w:t>
      </w:r>
      <w:r w:rsidRPr="00B26FA5">
        <w:rPr>
          <w:rFonts w:ascii="Times New Roman" w:hAnsi="Times New Roman" w:cs="Times New Roman"/>
          <w:sz w:val="24"/>
          <w:szCs w:val="24"/>
          <w:lang w:val="uk-UA"/>
        </w:rPr>
        <w:t>акціонерного товариства в депозитарній установі на рахунку в цінних паперах такого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26FA5">
        <w:rPr>
          <w:rFonts w:ascii="Times New Roman" w:hAnsi="Times New Roman" w:cs="Times New Roman"/>
          <w:sz w:val="24"/>
          <w:szCs w:val="24"/>
          <w:lang w:val="uk-UA"/>
        </w:rPr>
        <w:t>депонента.</w:t>
      </w:r>
    </w:p>
    <w:p w:rsidR="00B26FA5" w:rsidRPr="00B26FA5" w:rsidRDefault="00B26FA5" w:rsidP="00447AD6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26FA5">
        <w:rPr>
          <w:rFonts w:ascii="Times New Roman" w:hAnsi="Times New Roman" w:cs="Times New Roman"/>
          <w:sz w:val="24"/>
          <w:szCs w:val="24"/>
          <w:lang w:val="uk-UA"/>
        </w:rPr>
        <w:t>Акціонер має право видати довіреність на</w:t>
      </w:r>
      <w:r w:rsidR="00447AD6">
        <w:rPr>
          <w:rFonts w:ascii="Times New Roman" w:hAnsi="Times New Roman" w:cs="Times New Roman"/>
          <w:sz w:val="24"/>
          <w:szCs w:val="24"/>
          <w:lang w:val="uk-UA"/>
        </w:rPr>
        <w:t xml:space="preserve"> право участі та голосування на </w:t>
      </w:r>
      <w:r w:rsidRPr="00B26FA5">
        <w:rPr>
          <w:rFonts w:ascii="Times New Roman" w:hAnsi="Times New Roman" w:cs="Times New Roman"/>
          <w:sz w:val="24"/>
          <w:szCs w:val="24"/>
          <w:lang w:val="uk-UA"/>
        </w:rPr>
        <w:t>загальних зборах декільком своїм представникам.</w:t>
      </w:r>
    </w:p>
    <w:p w:rsidR="00B26FA5" w:rsidRPr="00B26FA5" w:rsidRDefault="00B26FA5" w:rsidP="00447AD6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26FA5">
        <w:rPr>
          <w:rFonts w:ascii="Times New Roman" w:hAnsi="Times New Roman" w:cs="Times New Roman"/>
          <w:sz w:val="24"/>
          <w:szCs w:val="24"/>
          <w:lang w:val="uk-UA"/>
        </w:rPr>
        <w:t>У разі подання бюлетенів декількома предста</w:t>
      </w:r>
      <w:r w:rsidR="00447AD6">
        <w:rPr>
          <w:rFonts w:ascii="Times New Roman" w:hAnsi="Times New Roman" w:cs="Times New Roman"/>
          <w:sz w:val="24"/>
          <w:szCs w:val="24"/>
          <w:lang w:val="uk-UA"/>
        </w:rPr>
        <w:t xml:space="preserve">вниками депонента, здійснюється </w:t>
      </w:r>
      <w:r w:rsidRPr="00B26FA5">
        <w:rPr>
          <w:rFonts w:ascii="Times New Roman" w:hAnsi="Times New Roman" w:cs="Times New Roman"/>
          <w:sz w:val="24"/>
          <w:szCs w:val="24"/>
          <w:lang w:val="uk-UA"/>
        </w:rPr>
        <w:t>ідентифікація та реєстрація того представника, довіреність якому була видана пізніше.</w:t>
      </w:r>
    </w:p>
    <w:p w:rsidR="00B26FA5" w:rsidRPr="00B26FA5" w:rsidRDefault="00B26FA5" w:rsidP="00447AD6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26FA5">
        <w:rPr>
          <w:rFonts w:ascii="Times New Roman" w:hAnsi="Times New Roman" w:cs="Times New Roman"/>
          <w:sz w:val="24"/>
          <w:szCs w:val="24"/>
          <w:lang w:val="uk-UA"/>
        </w:rPr>
        <w:t>Якщо для участі в загальних зборах ш</w:t>
      </w:r>
      <w:r w:rsidR="00447AD6">
        <w:rPr>
          <w:rFonts w:ascii="Times New Roman" w:hAnsi="Times New Roman" w:cs="Times New Roman"/>
          <w:sz w:val="24"/>
          <w:szCs w:val="24"/>
          <w:lang w:val="uk-UA"/>
        </w:rPr>
        <w:t xml:space="preserve">ляхом направлення бюлетенів для </w:t>
      </w:r>
      <w:r w:rsidRPr="00B26FA5">
        <w:rPr>
          <w:rFonts w:ascii="Times New Roman" w:hAnsi="Times New Roman" w:cs="Times New Roman"/>
          <w:sz w:val="24"/>
          <w:szCs w:val="24"/>
          <w:lang w:val="uk-UA"/>
        </w:rPr>
        <w:t>голосування здійснили декілька представників акц</w:t>
      </w:r>
      <w:r w:rsidR="00447AD6">
        <w:rPr>
          <w:rFonts w:ascii="Times New Roman" w:hAnsi="Times New Roman" w:cs="Times New Roman"/>
          <w:sz w:val="24"/>
          <w:szCs w:val="24"/>
          <w:lang w:val="uk-UA"/>
        </w:rPr>
        <w:t xml:space="preserve">іонера, яким довіреність видана </w:t>
      </w:r>
      <w:r w:rsidRPr="00B26FA5">
        <w:rPr>
          <w:rFonts w:ascii="Times New Roman" w:hAnsi="Times New Roman" w:cs="Times New Roman"/>
          <w:sz w:val="24"/>
          <w:szCs w:val="24"/>
          <w:lang w:val="uk-UA"/>
        </w:rPr>
        <w:t>одночасно, для участі в загальних зборах допускаєт</w:t>
      </w:r>
      <w:r w:rsidR="00447AD6">
        <w:rPr>
          <w:rFonts w:ascii="Times New Roman" w:hAnsi="Times New Roman" w:cs="Times New Roman"/>
          <w:sz w:val="24"/>
          <w:szCs w:val="24"/>
          <w:lang w:val="uk-UA"/>
        </w:rPr>
        <w:t xml:space="preserve">ься той представник, який надав </w:t>
      </w:r>
      <w:r w:rsidRPr="00B26FA5">
        <w:rPr>
          <w:rFonts w:ascii="Times New Roman" w:hAnsi="Times New Roman" w:cs="Times New Roman"/>
          <w:sz w:val="24"/>
          <w:szCs w:val="24"/>
          <w:lang w:val="uk-UA"/>
        </w:rPr>
        <w:t>бюлетень першим.</w:t>
      </w:r>
    </w:p>
    <w:p w:rsidR="00B26FA5" w:rsidRPr="00B26FA5" w:rsidRDefault="00B26FA5" w:rsidP="00447AD6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26FA5">
        <w:rPr>
          <w:rFonts w:ascii="Times New Roman" w:hAnsi="Times New Roman" w:cs="Times New Roman"/>
          <w:sz w:val="24"/>
          <w:szCs w:val="24"/>
          <w:lang w:val="uk-UA"/>
        </w:rPr>
        <w:lastRenderedPageBreak/>
        <w:t>Видача довіреності на право участі та гол</w:t>
      </w:r>
      <w:r w:rsidR="00447AD6">
        <w:rPr>
          <w:rFonts w:ascii="Times New Roman" w:hAnsi="Times New Roman" w:cs="Times New Roman"/>
          <w:sz w:val="24"/>
          <w:szCs w:val="24"/>
          <w:lang w:val="uk-UA"/>
        </w:rPr>
        <w:t xml:space="preserve">осування на загальних зборах не </w:t>
      </w:r>
      <w:r w:rsidRPr="00B26FA5">
        <w:rPr>
          <w:rFonts w:ascii="Times New Roman" w:hAnsi="Times New Roman" w:cs="Times New Roman"/>
          <w:sz w:val="24"/>
          <w:szCs w:val="24"/>
          <w:lang w:val="uk-UA"/>
        </w:rPr>
        <w:t>виключає право участі на цих загальних зборах акц</w:t>
      </w:r>
      <w:r w:rsidR="00447AD6">
        <w:rPr>
          <w:rFonts w:ascii="Times New Roman" w:hAnsi="Times New Roman" w:cs="Times New Roman"/>
          <w:sz w:val="24"/>
          <w:szCs w:val="24"/>
          <w:lang w:val="uk-UA"/>
        </w:rPr>
        <w:t xml:space="preserve">іонера, який видав довіреність, </w:t>
      </w:r>
      <w:r w:rsidRPr="00B26FA5">
        <w:rPr>
          <w:rFonts w:ascii="Times New Roman" w:hAnsi="Times New Roman" w:cs="Times New Roman"/>
          <w:sz w:val="24"/>
          <w:szCs w:val="24"/>
          <w:lang w:val="uk-UA"/>
        </w:rPr>
        <w:t>замість свого представника.</w:t>
      </w:r>
    </w:p>
    <w:p w:rsidR="00B26FA5" w:rsidRPr="00B26FA5" w:rsidRDefault="00B26FA5" w:rsidP="00447AD6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26FA5">
        <w:rPr>
          <w:rFonts w:ascii="Times New Roman" w:hAnsi="Times New Roman" w:cs="Times New Roman"/>
          <w:sz w:val="24"/>
          <w:szCs w:val="24"/>
          <w:lang w:val="uk-UA"/>
        </w:rPr>
        <w:t>Акціонер має право у будь-який час до зак</w:t>
      </w:r>
      <w:r w:rsidR="00447AD6">
        <w:rPr>
          <w:rFonts w:ascii="Times New Roman" w:hAnsi="Times New Roman" w:cs="Times New Roman"/>
          <w:sz w:val="24"/>
          <w:szCs w:val="24"/>
          <w:lang w:val="uk-UA"/>
        </w:rPr>
        <w:t xml:space="preserve">інчення строку, відведеного для </w:t>
      </w:r>
      <w:r w:rsidRPr="00B26FA5">
        <w:rPr>
          <w:rFonts w:ascii="Times New Roman" w:hAnsi="Times New Roman" w:cs="Times New Roman"/>
          <w:sz w:val="24"/>
          <w:szCs w:val="24"/>
          <w:lang w:val="uk-UA"/>
        </w:rPr>
        <w:t>голосування на загальних зборах відкликати чи</w:t>
      </w:r>
      <w:r w:rsidR="00447AD6">
        <w:rPr>
          <w:rFonts w:ascii="Times New Roman" w:hAnsi="Times New Roman" w:cs="Times New Roman"/>
          <w:sz w:val="24"/>
          <w:szCs w:val="24"/>
          <w:lang w:val="uk-UA"/>
        </w:rPr>
        <w:t xml:space="preserve"> замінити свого представника на </w:t>
      </w:r>
      <w:r w:rsidRPr="00B26FA5">
        <w:rPr>
          <w:rFonts w:ascii="Times New Roman" w:hAnsi="Times New Roman" w:cs="Times New Roman"/>
          <w:sz w:val="24"/>
          <w:szCs w:val="24"/>
          <w:lang w:val="uk-UA"/>
        </w:rPr>
        <w:t>загальних зборах, повідомивши про це товарист</w:t>
      </w:r>
      <w:r w:rsidR="00447AD6">
        <w:rPr>
          <w:rFonts w:ascii="Times New Roman" w:hAnsi="Times New Roman" w:cs="Times New Roman"/>
          <w:sz w:val="24"/>
          <w:szCs w:val="24"/>
          <w:lang w:val="uk-UA"/>
        </w:rPr>
        <w:t xml:space="preserve">во та депозитарну установу, яка </w:t>
      </w:r>
      <w:r w:rsidRPr="00B26FA5">
        <w:rPr>
          <w:rFonts w:ascii="Times New Roman" w:hAnsi="Times New Roman" w:cs="Times New Roman"/>
          <w:sz w:val="24"/>
          <w:szCs w:val="24"/>
          <w:lang w:val="uk-UA"/>
        </w:rPr>
        <w:t>обслуговує рахунок в цінних паперах такого ак</w:t>
      </w:r>
      <w:r w:rsidR="00447AD6">
        <w:rPr>
          <w:rFonts w:ascii="Times New Roman" w:hAnsi="Times New Roman" w:cs="Times New Roman"/>
          <w:sz w:val="24"/>
          <w:szCs w:val="24"/>
          <w:lang w:val="uk-UA"/>
        </w:rPr>
        <w:t xml:space="preserve">ціонера, на якому обліковуються </w:t>
      </w:r>
      <w:r w:rsidRPr="00B26FA5">
        <w:rPr>
          <w:rFonts w:ascii="Times New Roman" w:hAnsi="Times New Roman" w:cs="Times New Roman"/>
          <w:sz w:val="24"/>
          <w:szCs w:val="24"/>
          <w:lang w:val="uk-UA"/>
        </w:rPr>
        <w:t>належні акціонеру акції товариства, або взяти участь у загальних зборах особисто.</w:t>
      </w:r>
    </w:p>
    <w:p w:rsidR="00B26FA5" w:rsidRPr="00B26FA5" w:rsidRDefault="00B26FA5" w:rsidP="00447AD6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26FA5">
        <w:rPr>
          <w:rFonts w:ascii="Times New Roman" w:hAnsi="Times New Roman" w:cs="Times New Roman"/>
          <w:sz w:val="24"/>
          <w:szCs w:val="24"/>
          <w:lang w:val="uk-UA"/>
        </w:rPr>
        <w:t>Повідомлення акціонером про заміну або відк</w:t>
      </w:r>
      <w:r w:rsidR="00447AD6">
        <w:rPr>
          <w:rFonts w:ascii="Times New Roman" w:hAnsi="Times New Roman" w:cs="Times New Roman"/>
          <w:sz w:val="24"/>
          <w:szCs w:val="24"/>
          <w:lang w:val="uk-UA"/>
        </w:rPr>
        <w:t xml:space="preserve">ликання свого представника може </w:t>
      </w:r>
      <w:r w:rsidRPr="00B26FA5">
        <w:rPr>
          <w:rFonts w:ascii="Times New Roman" w:hAnsi="Times New Roman" w:cs="Times New Roman"/>
          <w:sz w:val="24"/>
          <w:szCs w:val="24"/>
          <w:lang w:val="uk-UA"/>
        </w:rPr>
        <w:t>здійснюватися за допомогою засобів електронного зв</w:t>
      </w:r>
      <w:r w:rsidR="00447AD6">
        <w:rPr>
          <w:rFonts w:ascii="Times New Roman" w:hAnsi="Times New Roman" w:cs="Times New Roman"/>
          <w:sz w:val="24"/>
          <w:szCs w:val="24"/>
          <w:lang w:val="uk-UA"/>
        </w:rPr>
        <w:t>’</w:t>
      </w:r>
      <w:r w:rsidRPr="00B26FA5">
        <w:rPr>
          <w:rFonts w:ascii="Times New Roman" w:hAnsi="Times New Roman" w:cs="Times New Roman"/>
          <w:sz w:val="24"/>
          <w:szCs w:val="24"/>
          <w:lang w:val="uk-UA"/>
        </w:rPr>
        <w:t>язку відповідно до законодавства</w:t>
      </w:r>
      <w:r w:rsidR="00447AD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26FA5">
        <w:rPr>
          <w:rFonts w:ascii="Times New Roman" w:hAnsi="Times New Roman" w:cs="Times New Roman"/>
          <w:sz w:val="24"/>
          <w:szCs w:val="24"/>
          <w:lang w:val="uk-UA"/>
        </w:rPr>
        <w:t>про електронний документообіг.</w:t>
      </w:r>
    </w:p>
    <w:p w:rsidR="00B26FA5" w:rsidRPr="00B26FA5" w:rsidRDefault="00B26FA5" w:rsidP="00447AD6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26FA5">
        <w:rPr>
          <w:rFonts w:ascii="Times New Roman" w:hAnsi="Times New Roman" w:cs="Times New Roman"/>
          <w:sz w:val="24"/>
          <w:szCs w:val="24"/>
          <w:lang w:val="uk-UA"/>
        </w:rPr>
        <w:t>Особа, яку акціонер має намір уповноважити на участь у загальних зборах</w:t>
      </w:r>
      <w:r w:rsidR="00447AD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26FA5">
        <w:rPr>
          <w:rFonts w:ascii="Times New Roman" w:hAnsi="Times New Roman" w:cs="Times New Roman"/>
          <w:sz w:val="24"/>
          <w:szCs w:val="24"/>
          <w:lang w:val="uk-UA"/>
        </w:rPr>
        <w:t>(далі – потенційний представник), повинна завчасно повідомити такого акціонера про</w:t>
      </w:r>
      <w:r w:rsidR="00447AD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26FA5">
        <w:rPr>
          <w:rFonts w:ascii="Times New Roman" w:hAnsi="Times New Roman" w:cs="Times New Roman"/>
          <w:sz w:val="24"/>
          <w:szCs w:val="24"/>
          <w:lang w:val="uk-UA"/>
        </w:rPr>
        <w:t>наявність у неї конфлікту інтересів, пов’язаного з реалізацією права голосу, та надати</w:t>
      </w:r>
      <w:r w:rsidR="00447AD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26FA5">
        <w:rPr>
          <w:rFonts w:ascii="Times New Roman" w:hAnsi="Times New Roman" w:cs="Times New Roman"/>
          <w:sz w:val="24"/>
          <w:szCs w:val="24"/>
          <w:lang w:val="uk-UA"/>
        </w:rPr>
        <w:t>інформацію, передбачену цим пунктом, при цьому</w:t>
      </w:r>
      <w:r w:rsidR="00447AD6">
        <w:rPr>
          <w:rFonts w:ascii="Times New Roman" w:hAnsi="Times New Roman" w:cs="Times New Roman"/>
          <w:sz w:val="24"/>
          <w:szCs w:val="24"/>
          <w:lang w:val="uk-UA"/>
        </w:rPr>
        <w:t xml:space="preserve"> особа вважається такою, що має </w:t>
      </w:r>
      <w:r w:rsidRPr="00B26FA5">
        <w:rPr>
          <w:rFonts w:ascii="Times New Roman" w:hAnsi="Times New Roman" w:cs="Times New Roman"/>
          <w:sz w:val="24"/>
          <w:szCs w:val="24"/>
          <w:lang w:val="uk-UA"/>
        </w:rPr>
        <w:t>конфлікт інтересів, якщо вона, зокрема, є:</w:t>
      </w:r>
    </w:p>
    <w:p w:rsidR="00B26FA5" w:rsidRPr="00B26FA5" w:rsidRDefault="00B26FA5" w:rsidP="00447AD6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26FA5">
        <w:rPr>
          <w:rFonts w:ascii="Times New Roman" w:hAnsi="Times New Roman" w:cs="Times New Roman"/>
          <w:sz w:val="24"/>
          <w:szCs w:val="24"/>
          <w:lang w:val="uk-UA"/>
        </w:rPr>
        <w:t>1) власником контрольного пакета акцій так</w:t>
      </w:r>
      <w:r w:rsidR="00447AD6">
        <w:rPr>
          <w:rFonts w:ascii="Times New Roman" w:hAnsi="Times New Roman" w:cs="Times New Roman"/>
          <w:sz w:val="24"/>
          <w:szCs w:val="24"/>
          <w:lang w:val="uk-UA"/>
        </w:rPr>
        <w:t xml:space="preserve">ого акціонерного товариства або </w:t>
      </w:r>
      <w:r w:rsidRPr="00B26FA5">
        <w:rPr>
          <w:rFonts w:ascii="Times New Roman" w:hAnsi="Times New Roman" w:cs="Times New Roman"/>
          <w:sz w:val="24"/>
          <w:szCs w:val="24"/>
          <w:lang w:val="uk-UA"/>
        </w:rPr>
        <w:t>іншою особою, яка перебуває під контролем такого власника;</w:t>
      </w:r>
    </w:p>
    <w:p w:rsidR="00B26FA5" w:rsidRPr="00B26FA5" w:rsidRDefault="00B26FA5" w:rsidP="00447AD6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26FA5">
        <w:rPr>
          <w:rFonts w:ascii="Times New Roman" w:hAnsi="Times New Roman" w:cs="Times New Roman"/>
          <w:sz w:val="24"/>
          <w:szCs w:val="24"/>
          <w:lang w:val="uk-UA"/>
        </w:rPr>
        <w:t>2) членом виконавчого органу або на</w:t>
      </w:r>
      <w:r w:rsidR="00447AD6">
        <w:rPr>
          <w:rFonts w:ascii="Times New Roman" w:hAnsi="Times New Roman" w:cs="Times New Roman"/>
          <w:sz w:val="24"/>
          <w:szCs w:val="24"/>
          <w:lang w:val="uk-UA"/>
        </w:rPr>
        <w:t xml:space="preserve">глядової ради, ради директорів: </w:t>
      </w:r>
      <w:r w:rsidRPr="00B26FA5">
        <w:rPr>
          <w:rFonts w:ascii="Times New Roman" w:hAnsi="Times New Roman" w:cs="Times New Roman"/>
          <w:sz w:val="24"/>
          <w:szCs w:val="24"/>
          <w:lang w:val="uk-UA"/>
        </w:rPr>
        <w:t>такого акціонерного товариства;</w:t>
      </w:r>
    </w:p>
    <w:p w:rsidR="00447AD6" w:rsidRDefault="00B26FA5" w:rsidP="00447AD6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26FA5">
        <w:rPr>
          <w:rFonts w:ascii="Times New Roman" w:hAnsi="Times New Roman" w:cs="Times New Roman"/>
          <w:sz w:val="24"/>
          <w:szCs w:val="24"/>
          <w:lang w:val="uk-UA"/>
        </w:rPr>
        <w:t>юридичної особи – іншого акціонера, який є влас</w:t>
      </w:r>
      <w:r w:rsidR="00447AD6">
        <w:rPr>
          <w:rFonts w:ascii="Times New Roman" w:hAnsi="Times New Roman" w:cs="Times New Roman"/>
          <w:sz w:val="24"/>
          <w:szCs w:val="24"/>
          <w:lang w:val="uk-UA"/>
        </w:rPr>
        <w:t>ником контрольного пакета акцій</w:t>
      </w:r>
    </w:p>
    <w:p w:rsidR="00B26FA5" w:rsidRPr="00B26FA5" w:rsidRDefault="00B26FA5" w:rsidP="00447AD6">
      <w:pPr>
        <w:pStyle w:val="a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26FA5">
        <w:rPr>
          <w:rFonts w:ascii="Times New Roman" w:hAnsi="Times New Roman" w:cs="Times New Roman"/>
          <w:sz w:val="24"/>
          <w:szCs w:val="24"/>
          <w:lang w:val="uk-UA"/>
        </w:rPr>
        <w:t>такого акціонерного товариства;</w:t>
      </w:r>
    </w:p>
    <w:p w:rsidR="00447AD6" w:rsidRDefault="00B26FA5" w:rsidP="00447AD6">
      <w:pPr>
        <w:pStyle w:val="a3"/>
        <w:ind w:left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26FA5">
        <w:rPr>
          <w:rFonts w:ascii="Times New Roman" w:hAnsi="Times New Roman" w:cs="Times New Roman"/>
          <w:sz w:val="24"/>
          <w:szCs w:val="24"/>
          <w:lang w:val="uk-UA"/>
        </w:rPr>
        <w:t>юридичної особи, яка перебуває під контрол</w:t>
      </w:r>
      <w:r w:rsidR="00447AD6">
        <w:rPr>
          <w:rFonts w:ascii="Times New Roman" w:hAnsi="Times New Roman" w:cs="Times New Roman"/>
          <w:sz w:val="24"/>
          <w:szCs w:val="24"/>
          <w:lang w:val="uk-UA"/>
        </w:rPr>
        <w:t>ем власника контрольного пакета акцій</w:t>
      </w:r>
    </w:p>
    <w:p w:rsidR="00B26FA5" w:rsidRPr="00B26FA5" w:rsidRDefault="00B26FA5" w:rsidP="00447AD6">
      <w:pPr>
        <w:pStyle w:val="a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26FA5">
        <w:rPr>
          <w:rFonts w:ascii="Times New Roman" w:hAnsi="Times New Roman" w:cs="Times New Roman"/>
          <w:sz w:val="24"/>
          <w:szCs w:val="24"/>
          <w:lang w:val="uk-UA"/>
        </w:rPr>
        <w:t>такого акціонерного товариства;</w:t>
      </w:r>
    </w:p>
    <w:p w:rsidR="00B26FA5" w:rsidRPr="00B26FA5" w:rsidRDefault="00B26FA5" w:rsidP="00B26FA5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26FA5">
        <w:rPr>
          <w:rFonts w:ascii="Times New Roman" w:hAnsi="Times New Roman" w:cs="Times New Roman"/>
          <w:sz w:val="24"/>
          <w:szCs w:val="24"/>
          <w:lang w:val="uk-UA"/>
        </w:rPr>
        <w:t>3) працівником або ключовим партнером з аудиту будь-якої з таких юридичних</w:t>
      </w:r>
    </w:p>
    <w:p w:rsidR="00B26FA5" w:rsidRPr="00B26FA5" w:rsidRDefault="00B26FA5" w:rsidP="00447AD6">
      <w:pPr>
        <w:pStyle w:val="a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26FA5">
        <w:rPr>
          <w:rFonts w:ascii="Times New Roman" w:hAnsi="Times New Roman" w:cs="Times New Roman"/>
          <w:sz w:val="24"/>
          <w:szCs w:val="24"/>
          <w:lang w:val="uk-UA"/>
        </w:rPr>
        <w:t>осіб:</w:t>
      </w:r>
    </w:p>
    <w:p w:rsidR="00B26FA5" w:rsidRPr="00B26FA5" w:rsidRDefault="00B26FA5" w:rsidP="00B26FA5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26FA5">
        <w:rPr>
          <w:rFonts w:ascii="Times New Roman" w:hAnsi="Times New Roman" w:cs="Times New Roman"/>
          <w:sz w:val="24"/>
          <w:szCs w:val="24"/>
          <w:lang w:val="uk-UA"/>
        </w:rPr>
        <w:t>такого акціонерного товариства;</w:t>
      </w:r>
    </w:p>
    <w:p w:rsidR="00B26FA5" w:rsidRPr="00B26FA5" w:rsidRDefault="00B26FA5" w:rsidP="00B26FA5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26FA5">
        <w:rPr>
          <w:rFonts w:ascii="Times New Roman" w:hAnsi="Times New Roman" w:cs="Times New Roman"/>
          <w:sz w:val="24"/>
          <w:szCs w:val="24"/>
          <w:lang w:val="uk-UA"/>
        </w:rPr>
        <w:t>юридичної особи – іншого акціонера, який є власником контрольного пакета акцій</w:t>
      </w:r>
    </w:p>
    <w:p w:rsidR="00B26FA5" w:rsidRPr="00B26FA5" w:rsidRDefault="00B26FA5" w:rsidP="00447AD6">
      <w:pPr>
        <w:pStyle w:val="a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26FA5">
        <w:rPr>
          <w:rFonts w:ascii="Times New Roman" w:hAnsi="Times New Roman" w:cs="Times New Roman"/>
          <w:sz w:val="24"/>
          <w:szCs w:val="24"/>
          <w:lang w:val="uk-UA"/>
        </w:rPr>
        <w:t>такого акціонерного товариства;</w:t>
      </w:r>
    </w:p>
    <w:p w:rsidR="00B26FA5" w:rsidRPr="00B26FA5" w:rsidRDefault="00B26FA5" w:rsidP="00B26FA5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26FA5">
        <w:rPr>
          <w:rFonts w:ascii="Times New Roman" w:hAnsi="Times New Roman" w:cs="Times New Roman"/>
          <w:sz w:val="24"/>
          <w:szCs w:val="24"/>
          <w:lang w:val="uk-UA"/>
        </w:rPr>
        <w:t>юридичної особи, яка перебуває під контролем власника контрольного пакета</w:t>
      </w:r>
    </w:p>
    <w:p w:rsidR="00B26FA5" w:rsidRPr="00B26FA5" w:rsidRDefault="00B26FA5" w:rsidP="00447AD6">
      <w:pPr>
        <w:pStyle w:val="a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26FA5">
        <w:rPr>
          <w:rFonts w:ascii="Times New Roman" w:hAnsi="Times New Roman" w:cs="Times New Roman"/>
          <w:sz w:val="24"/>
          <w:szCs w:val="24"/>
          <w:lang w:val="uk-UA"/>
        </w:rPr>
        <w:t>акцій такого акціонерного товариства;</w:t>
      </w:r>
    </w:p>
    <w:p w:rsidR="00B26FA5" w:rsidRPr="00B26FA5" w:rsidRDefault="00B26FA5" w:rsidP="00447AD6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26FA5">
        <w:rPr>
          <w:rFonts w:ascii="Times New Roman" w:hAnsi="Times New Roman" w:cs="Times New Roman"/>
          <w:sz w:val="24"/>
          <w:szCs w:val="24"/>
          <w:lang w:val="uk-UA"/>
        </w:rPr>
        <w:t>4) особою, пов’язаною родинними відносина</w:t>
      </w:r>
      <w:r w:rsidR="00447AD6">
        <w:rPr>
          <w:rFonts w:ascii="Times New Roman" w:hAnsi="Times New Roman" w:cs="Times New Roman"/>
          <w:sz w:val="24"/>
          <w:szCs w:val="24"/>
          <w:lang w:val="uk-UA"/>
        </w:rPr>
        <w:t xml:space="preserve">ми з будь-якою фізичною особою, </w:t>
      </w:r>
      <w:r w:rsidRPr="00B26FA5">
        <w:rPr>
          <w:rFonts w:ascii="Times New Roman" w:hAnsi="Times New Roman" w:cs="Times New Roman"/>
          <w:sz w:val="24"/>
          <w:szCs w:val="24"/>
          <w:lang w:val="uk-UA"/>
        </w:rPr>
        <w:t>зазначеною у підпунктах 1 – 3 цього пункту.</w:t>
      </w:r>
    </w:p>
    <w:p w:rsidR="00B26FA5" w:rsidRPr="00B26FA5" w:rsidRDefault="00B26FA5" w:rsidP="00B26FA5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26FA5">
        <w:rPr>
          <w:rFonts w:ascii="Times New Roman" w:hAnsi="Times New Roman" w:cs="Times New Roman"/>
          <w:sz w:val="24"/>
          <w:szCs w:val="24"/>
          <w:lang w:val="uk-UA"/>
        </w:rPr>
        <w:t>Потенційний представник у передбачених цим пунктом випадках повинен надати</w:t>
      </w:r>
    </w:p>
    <w:p w:rsidR="00B26FA5" w:rsidRPr="00B26FA5" w:rsidRDefault="00B26FA5" w:rsidP="00447AD6">
      <w:pPr>
        <w:pStyle w:val="a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26FA5">
        <w:rPr>
          <w:rFonts w:ascii="Times New Roman" w:hAnsi="Times New Roman" w:cs="Times New Roman"/>
          <w:sz w:val="24"/>
          <w:szCs w:val="24"/>
          <w:lang w:val="uk-UA"/>
        </w:rPr>
        <w:t>акціонеру інформацію про будь-які факти, я</w:t>
      </w:r>
      <w:r w:rsidR="00447AD6">
        <w:rPr>
          <w:rFonts w:ascii="Times New Roman" w:hAnsi="Times New Roman" w:cs="Times New Roman"/>
          <w:sz w:val="24"/>
          <w:szCs w:val="24"/>
          <w:lang w:val="uk-UA"/>
        </w:rPr>
        <w:t xml:space="preserve">кі мають значення для прийняття </w:t>
      </w:r>
      <w:r w:rsidRPr="00B26FA5">
        <w:rPr>
          <w:rFonts w:ascii="Times New Roman" w:hAnsi="Times New Roman" w:cs="Times New Roman"/>
          <w:sz w:val="24"/>
          <w:szCs w:val="24"/>
          <w:lang w:val="uk-UA"/>
        </w:rPr>
        <w:t>акціонером рішення, пов’язаного з оцінкою ризику того, що така особа діятиме в інших</w:t>
      </w:r>
      <w:r w:rsidR="00447AD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26FA5">
        <w:rPr>
          <w:rFonts w:ascii="Times New Roman" w:hAnsi="Times New Roman" w:cs="Times New Roman"/>
          <w:sz w:val="24"/>
          <w:szCs w:val="24"/>
          <w:lang w:val="uk-UA"/>
        </w:rPr>
        <w:t>інтересах, ніж інтереси акціонера, під час участі у загальних зборах.</w:t>
      </w:r>
    </w:p>
    <w:p w:rsidR="00B26FA5" w:rsidRPr="00B26FA5" w:rsidRDefault="00B26FA5" w:rsidP="00447AD6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26FA5">
        <w:rPr>
          <w:rFonts w:ascii="Times New Roman" w:hAnsi="Times New Roman" w:cs="Times New Roman"/>
          <w:sz w:val="24"/>
          <w:szCs w:val="24"/>
          <w:lang w:val="uk-UA"/>
        </w:rPr>
        <w:t>Потенційний представник, який отримав довір</w:t>
      </w:r>
      <w:r w:rsidR="00447AD6">
        <w:rPr>
          <w:rFonts w:ascii="Times New Roman" w:hAnsi="Times New Roman" w:cs="Times New Roman"/>
          <w:sz w:val="24"/>
          <w:szCs w:val="24"/>
          <w:lang w:val="uk-UA"/>
        </w:rPr>
        <w:t xml:space="preserve">еність, повинен відмовитися від </w:t>
      </w:r>
      <w:r w:rsidRPr="00B26FA5">
        <w:rPr>
          <w:rFonts w:ascii="Times New Roman" w:hAnsi="Times New Roman" w:cs="Times New Roman"/>
          <w:sz w:val="24"/>
          <w:szCs w:val="24"/>
          <w:lang w:val="uk-UA"/>
        </w:rPr>
        <w:t>представництва у разі невиконання вимог цього пункту.</w:t>
      </w:r>
    </w:p>
    <w:p w:rsidR="00B26FA5" w:rsidRPr="00B26FA5" w:rsidRDefault="00B26FA5" w:rsidP="00447AD6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26FA5">
        <w:rPr>
          <w:rFonts w:ascii="Times New Roman" w:hAnsi="Times New Roman" w:cs="Times New Roman"/>
          <w:sz w:val="24"/>
          <w:szCs w:val="24"/>
          <w:lang w:val="uk-UA"/>
        </w:rPr>
        <w:t>Потенційний представник може отримати до</w:t>
      </w:r>
      <w:r w:rsidR="00447AD6">
        <w:rPr>
          <w:rFonts w:ascii="Times New Roman" w:hAnsi="Times New Roman" w:cs="Times New Roman"/>
          <w:sz w:val="24"/>
          <w:szCs w:val="24"/>
          <w:lang w:val="uk-UA"/>
        </w:rPr>
        <w:t xml:space="preserve">віреність від більше ніж одного </w:t>
      </w:r>
      <w:r w:rsidRPr="00B26FA5">
        <w:rPr>
          <w:rFonts w:ascii="Times New Roman" w:hAnsi="Times New Roman" w:cs="Times New Roman"/>
          <w:sz w:val="24"/>
          <w:szCs w:val="24"/>
          <w:lang w:val="uk-UA"/>
        </w:rPr>
        <w:t>акціонера без обмеження кількості представлених таким чином акціонерів.</w:t>
      </w:r>
    </w:p>
    <w:p w:rsidR="00B26FA5" w:rsidRDefault="00B26FA5" w:rsidP="00447AD6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26FA5">
        <w:rPr>
          <w:rFonts w:ascii="Times New Roman" w:hAnsi="Times New Roman" w:cs="Times New Roman"/>
          <w:sz w:val="24"/>
          <w:szCs w:val="24"/>
          <w:lang w:val="uk-UA"/>
        </w:rPr>
        <w:t>Потенційний представник, який отримав довіренос</w:t>
      </w:r>
      <w:r w:rsidR="00447AD6">
        <w:rPr>
          <w:rFonts w:ascii="Times New Roman" w:hAnsi="Times New Roman" w:cs="Times New Roman"/>
          <w:sz w:val="24"/>
          <w:szCs w:val="24"/>
          <w:lang w:val="uk-UA"/>
        </w:rPr>
        <w:t xml:space="preserve">ті від кількох акціонерів, може </w:t>
      </w:r>
      <w:r w:rsidRPr="00B26FA5">
        <w:rPr>
          <w:rFonts w:ascii="Times New Roman" w:hAnsi="Times New Roman" w:cs="Times New Roman"/>
          <w:sz w:val="24"/>
          <w:szCs w:val="24"/>
          <w:lang w:val="uk-UA"/>
        </w:rPr>
        <w:t>обрати різні варіанти голосування за кожного акціонера, якого він представляє.</w:t>
      </w:r>
    </w:p>
    <w:p w:rsidR="00EB0A9E" w:rsidRPr="00EB0A9E" w:rsidRDefault="00EB0A9E" w:rsidP="00EB0A9E">
      <w:pPr>
        <w:ind w:firstLine="567"/>
        <w:jc w:val="both"/>
        <w:rPr>
          <w:color w:val="000000"/>
        </w:rPr>
      </w:pPr>
      <w:r w:rsidRPr="00EB0A9E">
        <w:rPr>
          <w:color w:val="000000"/>
        </w:rPr>
        <w:t>Реєстрація акціонерів (їх представників) проводиться на підставі переліку акціонерів, які мають право на участь у загальних зборах, складеного в порядку, передбаченому законодавством про депозитарну систему України.</w:t>
      </w:r>
    </w:p>
    <w:p w:rsidR="00EB0A9E" w:rsidRDefault="00EB0A9E" w:rsidP="00EB0A9E">
      <w:pPr>
        <w:ind w:firstLine="567"/>
        <w:jc w:val="both"/>
        <w:rPr>
          <w:color w:val="000000"/>
        </w:rPr>
      </w:pPr>
      <w:bookmarkStart w:id="1" w:name="223"/>
      <w:r w:rsidRPr="00EB0A9E">
        <w:rPr>
          <w:color w:val="000000"/>
        </w:rPr>
        <w:t>Для реєстрації акціонерів (їх представників) таким акціонером (представником акціонера) направляються бюлетені для голосування на адресу електронної пошти депозитарної установи, яка обслуговує рахунок в цінних паперах такого акціонера, на якому обліковуються належні акціонеру акції акціонерного товариства.</w:t>
      </w:r>
    </w:p>
    <w:p w:rsidR="003A4C00" w:rsidRDefault="00353480" w:rsidP="00EB0A9E">
      <w:pPr>
        <w:ind w:firstLine="567"/>
        <w:jc w:val="both"/>
      </w:pPr>
      <w:r>
        <w:t xml:space="preserve">Депозитарна установа може вимагати у акціонера (представника акціонера) також інші документи, необхідні для його ідентифікації та верифікації, відповідно із </w:t>
      </w:r>
      <w:r>
        <w:lastRenderedPageBreak/>
        <w:t xml:space="preserve">положенням договору, укладеного між акціонером та такою депозитарною установою та/або законодавством про депозитарну систему та/або законодавством, що регулює порядок дистанційного проведення позачергових Загальних зборів. </w:t>
      </w:r>
    </w:p>
    <w:p w:rsidR="003A4C00" w:rsidRPr="003A4C00" w:rsidRDefault="00353480" w:rsidP="00EB0A9E">
      <w:pPr>
        <w:ind w:firstLine="567"/>
        <w:jc w:val="both"/>
      </w:pPr>
      <w:r>
        <w:t>У разі відмови депозитарної установи у прийнятті бюлетеня для голосування, акціонер (його представник) має право до завершення голосування на позачергових Загальних зборах направити бюлетень для голосування, оригінал або належно засвідчену копію відмови депозитарної установи у прийнятті бюлетеня для голосування, а також оригінали та/або належним чином засвідчені копії документів, що підтверджують особу акціонера (представника акціонера), повноваження представника акціонера (у разі підписання бюлетеня для голосування представником акціонера) на адресу електронної пошти:</w:t>
      </w:r>
      <w:r w:rsidR="003A4C00" w:rsidRPr="003A4C00">
        <w:t xml:space="preserve"> </w:t>
      </w:r>
      <w:hyperlink r:id="rId5" w:tgtFrame="_blank" w:history="1">
        <w:r w:rsidR="003A4C00" w:rsidRPr="003A4C00">
          <w:rPr>
            <w:color w:val="1155CC"/>
            <w:u w:val="single"/>
            <w:shd w:val="clear" w:color="auto" w:fill="FFFFFF"/>
          </w:rPr>
          <w:t>office@energoproekt.com.ua</w:t>
        </w:r>
      </w:hyperlink>
      <w:r w:rsidR="004300AD">
        <w:t>.</w:t>
      </w:r>
    </w:p>
    <w:p w:rsidR="00353480" w:rsidRPr="00EB0A9E" w:rsidRDefault="00353480" w:rsidP="00EB0A9E">
      <w:pPr>
        <w:ind w:firstLine="567"/>
        <w:jc w:val="both"/>
      </w:pPr>
      <w:r>
        <w:t>Бюлетень для голосування на позачергових Загальних зборах засвідчується кваліфікованим електронним підписом акціонера (його представника) та/або іншим засобом електронної ідентифікації, що відповідає вимогам, визначеним Національною комісією з цінних паперів та фондового ринку.</w:t>
      </w:r>
    </w:p>
    <w:p w:rsidR="00EB0A9E" w:rsidRPr="00EB0A9E" w:rsidRDefault="00EB0A9E" w:rsidP="00EB0A9E">
      <w:pPr>
        <w:ind w:firstLine="567"/>
        <w:jc w:val="both"/>
      </w:pPr>
      <w:r w:rsidRPr="00EB0A9E" w:rsidDel="00B40517">
        <w:rPr>
          <w:color w:val="000000"/>
        </w:rPr>
        <w:t xml:space="preserve"> </w:t>
      </w:r>
      <w:r w:rsidRPr="00EB0A9E">
        <w:rPr>
          <w:color w:val="000000"/>
        </w:rPr>
        <w:t>У разі, якщо акціонер має рахунки в цінних паперах в декількох депозитарних установах, на яких обліковуються акції товариства, кожна із депозитарних установ приймає бюлетень для голосування на загальних зборах лише щодо тієї кількості акцій, права на які обліковуються на рахунку в цінних паперах, що обслуговується такою депозитарною установою.</w:t>
      </w:r>
    </w:p>
    <w:p w:rsidR="00EB0A9E" w:rsidRPr="00EB0A9E" w:rsidRDefault="00EB0A9E" w:rsidP="00EB0A9E">
      <w:pPr>
        <w:ind w:firstLine="567"/>
        <w:jc w:val="both"/>
        <w:rPr>
          <w:color w:val="000000"/>
        </w:rPr>
      </w:pPr>
      <w:r w:rsidRPr="00EB0A9E">
        <w:rPr>
          <w:color w:val="000000"/>
        </w:rPr>
        <w:t>У випадку направлення бюлетеня для голосування, підписаного представником акціонера, до бюлетеня для голосування додаються документи, що підтверджують повноваження такого представника акціонера або їх належним чином засвідчені копії.</w:t>
      </w:r>
    </w:p>
    <w:p w:rsidR="00EB0A9E" w:rsidRPr="00EB0A9E" w:rsidRDefault="00EB0A9E" w:rsidP="00EB0A9E">
      <w:pPr>
        <w:ind w:firstLine="567"/>
        <w:jc w:val="both"/>
        <w:rPr>
          <w:color w:val="000000"/>
        </w:rPr>
      </w:pPr>
      <w:r w:rsidRPr="00EB0A9E">
        <w:rPr>
          <w:color w:val="000000"/>
        </w:rPr>
        <w:t>У разі, якщо документи, передбачені абзацом четвертим пункту</w:t>
      </w:r>
      <w:r>
        <w:rPr>
          <w:color w:val="000000"/>
        </w:rPr>
        <w:t xml:space="preserve"> 67 Порядку</w:t>
      </w:r>
      <w:r w:rsidRPr="00EB0A9E">
        <w:rPr>
          <w:color w:val="000000"/>
        </w:rPr>
        <w:t>, були направл</w:t>
      </w:r>
      <w:r>
        <w:rPr>
          <w:color w:val="000000"/>
        </w:rPr>
        <w:t xml:space="preserve">ені на адресу електронної пошти - </w:t>
      </w:r>
      <w:r w:rsidRPr="00EB0A9E">
        <w:rPr>
          <w:color w:val="000000"/>
        </w:rPr>
        <w:t xml:space="preserve"> </w:t>
      </w:r>
      <w:hyperlink r:id="rId6" w:tgtFrame="_blank" w:history="1">
        <w:r w:rsidR="00933F69" w:rsidRPr="00353480">
          <w:rPr>
            <w:color w:val="1155CC"/>
            <w:u w:val="single"/>
            <w:shd w:val="clear" w:color="auto" w:fill="FFFFFF"/>
          </w:rPr>
          <w:t>office@energoproekt.com.ua</w:t>
        </w:r>
      </w:hyperlink>
      <w:r w:rsidR="00353480">
        <w:rPr>
          <w:color w:val="000000"/>
        </w:rPr>
        <w:t>,</w:t>
      </w:r>
      <w:r w:rsidRPr="00EB0A9E">
        <w:rPr>
          <w:color w:val="000000"/>
        </w:rPr>
        <w:t xml:space="preserve"> </w:t>
      </w:r>
      <w:r w:rsidR="00933F69">
        <w:rPr>
          <w:color w:val="000000"/>
        </w:rPr>
        <w:t xml:space="preserve">особа, яка </w:t>
      </w:r>
      <w:proofErr w:type="spellStart"/>
      <w:r w:rsidR="00933F69">
        <w:rPr>
          <w:color w:val="000000"/>
        </w:rPr>
        <w:t>скликає</w:t>
      </w:r>
      <w:proofErr w:type="spellEnd"/>
      <w:r w:rsidR="00933F69">
        <w:rPr>
          <w:color w:val="000000"/>
        </w:rPr>
        <w:t xml:space="preserve"> </w:t>
      </w:r>
      <w:r>
        <w:rPr>
          <w:color w:val="000000"/>
        </w:rPr>
        <w:t xml:space="preserve"> позачергові З</w:t>
      </w:r>
      <w:r w:rsidRPr="00EB0A9E">
        <w:rPr>
          <w:color w:val="000000"/>
        </w:rPr>
        <w:t xml:space="preserve">агальні </w:t>
      </w:r>
      <w:r>
        <w:rPr>
          <w:color w:val="000000"/>
        </w:rPr>
        <w:t xml:space="preserve">збори акціонерів на </w:t>
      </w:r>
      <w:r w:rsidR="00933F69">
        <w:rPr>
          <w:color w:val="000000"/>
        </w:rPr>
        <w:t>12.01.2024</w:t>
      </w:r>
      <w:r w:rsidRPr="00EB0A9E">
        <w:rPr>
          <w:color w:val="000000"/>
        </w:rPr>
        <w:t>, протягом одного робочого дня з дати отримання зазначених документів забезпечує направлення акціонеру (його представнику) на адресу електронної пошти, з якої отримано ці документи, повідомлення про отримання документів.</w:t>
      </w:r>
      <w:r w:rsidR="003A4C00">
        <w:rPr>
          <w:color w:val="000000"/>
        </w:rPr>
        <w:t xml:space="preserve"> </w:t>
      </w:r>
      <w:r w:rsidRPr="00EB0A9E">
        <w:rPr>
          <w:color w:val="000000"/>
        </w:rPr>
        <w:t>Повідомлення надається із засвідченням відповіді кваліфікованим електронним підписом уповноваженої особи та/або іншим засобом електронної ідентифікації, що відповідає вимогам, визначеним Національною комісією з цінних паперів та фондового ринку. За наявності підстав для неприйняття зазначених документів для подальшого опрацювання в повідомленні вказується мотивована відмова у подальшому опрацюванні документів.</w:t>
      </w:r>
    </w:p>
    <w:p w:rsidR="00EB0A9E" w:rsidRPr="00EB0A9E" w:rsidRDefault="00EB0A9E" w:rsidP="00EB0A9E">
      <w:pPr>
        <w:ind w:firstLine="567"/>
        <w:jc w:val="both"/>
        <w:rPr>
          <w:color w:val="000000"/>
        </w:rPr>
      </w:pPr>
      <w:r w:rsidRPr="00EB0A9E">
        <w:rPr>
          <w:color w:val="000000"/>
        </w:rPr>
        <w:t>Відмова у подальшому опрацюванні документів надається з наступних підстав:</w:t>
      </w:r>
    </w:p>
    <w:p w:rsidR="00EB0A9E" w:rsidRPr="00353480" w:rsidRDefault="00EB0A9E" w:rsidP="00353480">
      <w:pPr>
        <w:pStyle w:val="a7"/>
        <w:numPr>
          <w:ilvl w:val="0"/>
          <w:numId w:val="5"/>
        </w:numPr>
        <w:jc w:val="both"/>
        <w:rPr>
          <w:color w:val="000000"/>
        </w:rPr>
      </w:pPr>
      <w:r w:rsidRPr="00353480">
        <w:rPr>
          <w:color w:val="000000"/>
        </w:rPr>
        <w:t xml:space="preserve">отриманий від акціонера (його представника) бюлетень для голосування не засвідчений підписом акціонера (його представника) відповідно до вимог пункту 98 розділу </w:t>
      </w:r>
      <w:r w:rsidRPr="00353480">
        <w:rPr>
          <w:color w:val="000000"/>
          <w:lang w:val="en-US"/>
        </w:rPr>
        <w:t>XVI</w:t>
      </w:r>
      <w:r w:rsidRPr="00353480">
        <w:rPr>
          <w:color w:val="000000"/>
        </w:rPr>
        <w:t xml:space="preserve"> цього Порядку або бюлетень засвідчений підписом особи, яка не вказана у бюлетені відповідно до вимог підпункту 7 пункту 94 або підпункту 8 пункту 95 розділу </w:t>
      </w:r>
      <w:r w:rsidRPr="00353480">
        <w:rPr>
          <w:color w:val="000000"/>
          <w:lang w:val="en-US"/>
        </w:rPr>
        <w:t>XVI</w:t>
      </w:r>
      <w:r w:rsidRPr="00353480">
        <w:rPr>
          <w:color w:val="000000"/>
        </w:rPr>
        <w:t xml:space="preserve"> цього Порядку;</w:t>
      </w:r>
    </w:p>
    <w:p w:rsidR="00EB0A9E" w:rsidRPr="00EB0A9E" w:rsidRDefault="00EB0A9E" w:rsidP="00933F69">
      <w:pPr>
        <w:pStyle w:val="a7"/>
        <w:numPr>
          <w:ilvl w:val="0"/>
          <w:numId w:val="5"/>
        </w:numPr>
        <w:jc w:val="both"/>
      </w:pPr>
      <w:r w:rsidRPr="00933F69">
        <w:rPr>
          <w:color w:val="000000"/>
        </w:rPr>
        <w:t>до бюлетеня не додано оригінал або належно засвідчену копію відмови депозитарної установи у прийнятті бюлетеня.</w:t>
      </w:r>
    </w:p>
    <w:p w:rsidR="00EB0A9E" w:rsidRPr="00EB0A9E" w:rsidRDefault="00EB0A9E" w:rsidP="00EB0A9E">
      <w:pPr>
        <w:ind w:firstLine="567"/>
        <w:jc w:val="both"/>
        <w:rPr>
          <w:color w:val="000000"/>
        </w:rPr>
      </w:pPr>
      <w:r w:rsidRPr="00EB0A9E">
        <w:rPr>
          <w:color w:val="000000"/>
        </w:rPr>
        <w:t>Документи, передбачені абзацом четвертим пункту</w:t>
      </w:r>
      <w:r w:rsidR="00CC34A2">
        <w:rPr>
          <w:color w:val="000000"/>
        </w:rPr>
        <w:t xml:space="preserve"> 67 Порядку</w:t>
      </w:r>
      <w:r w:rsidRPr="00EB0A9E">
        <w:rPr>
          <w:color w:val="000000"/>
        </w:rPr>
        <w:t xml:space="preserve">, що були отримані від акціонера (його представника) після завершення часу, відведеного на голосування відповідно до пункту 79 розділу </w:t>
      </w:r>
      <w:r w:rsidRPr="00EB0A9E">
        <w:rPr>
          <w:color w:val="000000"/>
          <w:lang w:val="en-US"/>
        </w:rPr>
        <w:t>XIV</w:t>
      </w:r>
      <w:r w:rsidRPr="00EB0A9E">
        <w:rPr>
          <w:color w:val="000000"/>
        </w:rPr>
        <w:t xml:space="preserve"> цього Порядку, вважаються такими, що не подані.</w:t>
      </w:r>
    </w:p>
    <w:p w:rsidR="00EB0A9E" w:rsidRPr="00EB0A9E" w:rsidRDefault="00EB0A9E" w:rsidP="00EB0A9E">
      <w:pPr>
        <w:ind w:firstLine="567"/>
        <w:jc w:val="both"/>
        <w:rPr>
          <w:color w:val="000000"/>
        </w:rPr>
      </w:pPr>
      <w:bookmarkStart w:id="2" w:name="224"/>
      <w:bookmarkEnd w:id="1"/>
      <w:r w:rsidRPr="00EB0A9E">
        <w:rPr>
          <w:color w:val="000000"/>
        </w:rPr>
        <w:t>Акціонер (його представник)</w:t>
      </w:r>
      <w:r w:rsidRPr="00EB0A9E">
        <w:rPr>
          <w:b/>
          <w:color w:val="000000"/>
        </w:rPr>
        <w:t xml:space="preserve"> </w:t>
      </w:r>
      <w:r w:rsidRPr="00EB0A9E">
        <w:rPr>
          <w:color w:val="000000"/>
        </w:rPr>
        <w:t xml:space="preserve">має право направити бюлетень для голосування до дати  проведення загальних зборів. </w:t>
      </w:r>
    </w:p>
    <w:bookmarkEnd w:id="2"/>
    <w:p w:rsidR="00EB0A9E" w:rsidRPr="00EB0A9E" w:rsidRDefault="00EB0A9E" w:rsidP="00447AD6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sectPr w:rsidR="00EB0A9E" w:rsidRPr="00EB0A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cs="Times New Roman"/>
        <w:b/>
        <w:bCs/>
        <w:sz w:val="24"/>
        <w:szCs w:val="24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eastAsia="Times New Roman" w:cs="Times New Roman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eastAsia="Times New Roman" w:cs="Times New Roman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eastAsia="Times New Roman" w:cs="Times New Roman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eastAsia="Times New Roman" w:cs="Times New Roman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eastAsia="Times New Roman" w:cs="Times New Roman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eastAsia="Times New Roman" w:cs="Times New Roman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eastAsia="Times New Roman" w:cs="Times New Roman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eastAsia="Times New Roman" w:cs="Times New Roman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/>
        <w:sz w:val="24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Times New Roman" w:hAnsi="Times New Roman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Times New Roman" w:hAnsi="Times New Roman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Times New Roman" w:hAnsi="Times New Roman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Times New Roman" w:hAnsi="Times New Roman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Times New Roman" w:hAnsi="Times New Roman"/>
      </w:rPr>
    </w:lvl>
  </w:abstractNum>
  <w:abstractNum w:abstractNumId="2" w15:restartNumberingAfterBreak="0">
    <w:nsid w:val="13BC3935"/>
    <w:multiLevelType w:val="hybridMultilevel"/>
    <w:tmpl w:val="02A26992"/>
    <w:lvl w:ilvl="0" w:tplc="3E5A4E8E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404A6E"/>
    <w:multiLevelType w:val="hybridMultilevel"/>
    <w:tmpl w:val="C1FA4EA2"/>
    <w:lvl w:ilvl="0" w:tplc="3364003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4E3E39"/>
    <w:multiLevelType w:val="multilevel"/>
    <w:tmpl w:val="900EF6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496C"/>
    <w:rsid w:val="000D0622"/>
    <w:rsid w:val="002A7450"/>
    <w:rsid w:val="00353480"/>
    <w:rsid w:val="003A4C00"/>
    <w:rsid w:val="004300AD"/>
    <w:rsid w:val="00447AD6"/>
    <w:rsid w:val="006A4617"/>
    <w:rsid w:val="007D6922"/>
    <w:rsid w:val="008665F7"/>
    <w:rsid w:val="008D7444"/>
    <w:rsid w:val="00911897"/>
    <w:rsid w:val="00933F69"/>
    <w:rsid w:val="00995805"/>
    <w:rsid w:val="00B26FA5"/>
    <w:rsid w:val="00C56150"/>
    <w:rsid w:val="00CC34A2"/>
    <w:rsid w:val="00E10F95"/>
    <w:rsid w:val="00EB0A9E"/>
    <w:rsid w:val="00EE0B36"/>
    <w:rsid w:val="00F12CA7"/>
    <w:rsid w:val="00F34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C1A41F5-C328-4DA8-B294-B317ECA893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0A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26FA5"/>
    <w:pPr>
      <w:spacing w:after="0" w:line="240" w:lineRule="auto"/>
    </w:pPr>
  </w:style>
  <w:style w:type="character" w:styleId="a4">
    <w:name w:val="Hyperlink"/>
    <w:rsid w:val="00EB0A9E"/>
    <w:rPr>
      <w:rFonts w:cs="Times New Roman"/>
      <w:color w:val="0000FF"/>
      <w:u w:val="single"/>
    </w:rPr>
  </w:style>
  <w:style w:type="paragraph" w:styleId="a5">
    <w:name w:val="Normal (Web)"/>
    <w:basedOn w:val="a"/>
    <w:uiPriority w:val="99"/>
    <w:semiHidden/>
    <w:unhideWhenUsed/>
    <w:rsid w:val="00E10F95"/>
    <w:pPr>
      <w:spacing w:before="100" w:beforeAutospacing="1" w:after="100" w:afterAutospacing="1"/>
    </w:pPr>
    <w:rPr>
      <w:lang w:val="ru-RU" w:eastAsia="ru-RU"/>
    </w:rPr>
  </w:style>
  <w:style w:type="character" w:styleId="a6">
    <w:name w:val="Strong"/>
    <w:basedOn w:val="a0"/>
    <w:uiPriority w:val="22"/>
    <w:qFormat/>
    <w:rsid w:val="00E10F95"/>
    <w:rPr>
      <w:b/>
      <w:bCs/>
    </w:rPr>
  </w:style>
  <w:style w:type="paragraph" w:styleId="a7">
    <w:name w:val="List Paragraph"/>
    <w:basedOn w:val="a"/>
    <w:uiPriority w:val="34"/>
    <w:qFormat/>
    <w:rsid w:val="00933F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209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office@energoproekt.com.ua" TargetMode="External"/><Relationship Id="rId5" Type="http://schemas.openxmlformats.org/officeDocument/2006/relationships/hyperlink" Target="mailto:office@energoproekt.com.u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3</Pages>
  <Words>1554</Words>
  <Characters>8859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Заразка Виктория Юрьевна</dc:creator>
  <cp:keywords/>
  <dc:description/>
  <cp:lastModifiedBy>Шеховцова Валерия Сергеевна</cp:lastModifiedBy>
  <cp:revision>12</cp:revision>
  <dcterms:created xsi:type="dcterms:W3CDTF">2023-04-11T06:21:00Z</dcterms:created>
  <dcterms:modified xsi:type="dcterms:W3CDTF">2023-12-25T08:07:00Z</dcterms:modified>
</cp:coreProperties>
</file>